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8" w:rsidRDefault="00B624C8"/>
    <w:p w:rsidR="00D256B3" w:rsidRDefault="00D256B3" w:rsidP="00D256B3">
      <w:pPr>
        <w:pStyle w:val="Ttulo1"/>
        <w:shd w:val="clear" w:color="auto" w:fill="FFFFFF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RTVE020212</w:t>
      </w:r>
    </w:p>
    <w:p w:rsidR="00D256B3" w:rsidRDefault="00D256B3" w:rsidP="00D256B3">
      <w:pPr>
        <w:pStyle w:val="Ttulo1"/>
        <w:shd w:val="clear" w:color="auto" w:fill="FFFFFF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Una reforma financiera para tratar de rebajar el precio de los pisos un 35%</w:t>
      </w:r>
    </w:p>
    <w:p w:rsidR="00D256B3" w:rsidRDefault="00D256B3" w:rsidP="00D25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 xml:space="preserve">La reforma financiera pretende la reducción de su valor </w:t>
      </w:r>
    </w:p>
    <w:p w:rsidR="00D256B3" w:rsidRDefault="00D256B3" w:rsidP="00D25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 xml:space="preserve">"Insuficiente" para algunos analistas, frente al descenso del mercado </w:t>
      </w:r>
    </w:p>
    <w:p w:rsidR="00D256B3" w:rsidRDefault="00D256B3"/>
    <w:p w:rsidR="00D256B3" w:rsidRPr="00D256B3" w:rsidRDefault="00D256B3" w:rsidP="00D25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b/>
          <w:bCs/>
          <w:color w:val="333333"/>
          <w:sz w:val="9"/>
          <w:lang w:eastAsia="es-ES"/>
        </w:rPr>
        <w:t>SILVIA QUÍLEZ</w:t>
      </w:r>
      <w:r w:rsidRPr="00D256B3">
        <w:rPr>
          <w:rFonts w:ascii="Arial" w:eastAsia="Times New Roman" w:hAnsi="Arial" w:cs="Arial"/>
          <w:color w:val="333333"/>
          <w:sz w:val="9"/>
          <w:lang w:eastAsia="es-ES"/>
        </w:rPr>
        <w:t> 02.02.2012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La </w:t>
      </w:r>
      <w:hyperlink r:id="rId5" w:tgtFrame="_self" w:history="1">
        <w:r w:rsidRPr="00D256B3">
          <w:rPr>
            <w:rFonts w:ascii="Arial" w:eastAsia="Times New Roman" w:hAnsi="Arial" w:cs="Arial"/>
            <w:color w:val="004276"/>
            <w:sz w:val="9"/>
            <w:lang w:eastAsia="es-ES"/>
          </w:rPr>
          <w:t>reforma del sistema financiero</w:t>
        </w:r>
      </w:hyperlink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se presenta para el Gobierno de Mariano Rajoy como una solución a los precios excesivos del sector inmobiliario en España. Su ministro de Economía, Luis de Guindos, aseguraba que esta reforma "debe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facilitar la salida de los activos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" inmobiliarios que ahora tienen las entidades y permitir que "los ciudadanos se beneficien de unos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precios más reducidos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>".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El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efecto será "muy directo"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en el precio de las viviendas, que ahora tendrán que ajustarse al valor del mercado, señala el profesor de Economía de la Universidad </w:t>
      </w:r>
      <w:proofErr w:type="spell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Pompeu-Fabra</w:t>
      </w:r>
      <w:proofErr w:type="spellEnd"/>
      <w:r w:rsidRPr="00D256B3">
        <w:rPr>
          <w:rFonts w:ascii="Arial" w:eastAsia="Times New Roman" w:hAnsi="Arial" w:cs="Arial"/>
          <w:sz w:val="9"/>
          <w:szCs w:val="9"/>
          <w:lang w:eastAsia="es-ES"/>
        </w:rPr>
        <w:t>, José García Montalvo que considera que la reforma obligará a las entidades a reconocer que "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no valen lo que los bancos creen que valen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>".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Para el analista de AFI (Analistas Financieros Internacionales) Enrique Martín Barragán, la reforma anunciada por el Gobierno "va en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 xml:space="preserve">la línea correcta 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>para solucionar el problema del sector inmobiliario". Aunque, al mismo tiempo reconoce que "va a suponer un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 xml:space="preserve"> esfuerzo importante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para las entidades", porque "van tener que </w:t>
      </w:r>
      <w:proofErr w:type="spell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provisionar</w:t>
      </w:r>
      <w:proofErr w:type="spellEnd"/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25.000 millones de forma inmediata y esos saneamientos solo se podrán hacer con operaciones de integración entre entidades".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>Habrá rebaja, pero "se queda corta"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Efectivamente,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habrá rebaja en los precios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de las viviendas que tienen las entidades bancarias, aunque ahora "la demanda de la vivienda está en una situación de mínimos y está cayendo el ahorro", recuerda Martín Barragán. Los efectos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no serán "rápidos e inmediatos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pero ajustar el precio de las viviendas al mercado es condición previa" para el saneamiento del sistema financiero.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>Sin embargo, el ajuste de los precios de las viviendas en España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 xml:space="preserve"> está siendo "muy lento"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, asegura García Montalvo, y añade que en tres años, han bajado un 19% frente al 33% que se han reducido en </w:t>
      </w:r>
      <w:proofErr w:type="gram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EE.UU..</w:t>
      </w:r>
      <w:proofErr w:type="gramEnd"/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La reducción lenta del precio de las viviendas se debe en parte a que el precio de la tasación es hipotecario, no el "precio real del mercado". Los precios de tasación de Fomento "bajan lentamente, porque los bancos lo bajan lentamente".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Por ejemplo, una vivienda valorada por una entidad en 200.000 euros hasta ahora estaba </w:t>
      </w:r>
      <w:proofErr w:type="spell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provisionada</w:t>
      </w:r>
      <w:proofErr w:type="spellEnd"/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por el 25% de su valor (50.000 euros). Es decir, los bancos tenían que reconocer que ese activo solo valía 150.000 euros, después de </w:t>
      </w:r>
      <w:proofErr w:type="spell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provisionar</w:t>
      </w:r>
      <w:proofErr w:type="spellEnd"/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la cuarta parte de su valor. Ahora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 xml:space="preserve"> la rebaja es aún mayor, hasta del 35%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>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En este caso, si ofrecen "menos de un 35% del valor", por el que la vivienda está </w:t>
      </w:r>
      <w:proofErr w:type="spell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provisionada</w:t>
      </w:r>
      <w:proofErr w:type="spellEnd"/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,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"a la entidad no le compensa vender esa vivienda"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, señala García Montalvo. Si le ofrecen una suma inferior a  los 70.000 euros por los que está </w:t>
      </w:r>
      <w:proofErr w:type="spell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provisionada</w:t>
      </w:r>
      <w:proofErr w:type="spellEnd"/>
      <w:r w:rsidRPr="00D256B3">
        <w:rPr>
          <w:rFonts w:ascii="Arial" w:eastAsia="Times New Roman" w:hAnsi="Arial" w:cs="Arial"/>
          <w:sz w:val="9"/>
          <w:szCs w:val="9"/>
          <w:lang w:eastAsia="es-ES"/>
        </w:rPr>
        <w:t>, al banco no le interesará vender la vivienda, cuyo valor reconocido por la entidad con las nuevas provisiones se situaría en 130.000 euros.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En cualquier caso, para este experto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la reforma "se queda corta"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, si los compradores de vivienda ven en el mercado una rebaja mayor, preferirán quedarse con el piso al valor del mercado y no al valor </w:t>
      </w:r>
      <w:proofErr w:type="spell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provisionado</w:t>
      </w:r>
      <w:proofErr w:type="spellEnd"/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por el banco. Para adaptarse a esa pérdida de valor de los inmuebles,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"la rebaja debería ser del 45%"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>, añade.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>Romper el círculo vicioso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Además, para que haya compra de viviendas y los bancos concedan crédito, debe haber una demanda solvente, pero la renta media en España es de 23.000 o 24.000 euros anuales. Por tanto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"la salida del círculo vicioso no puede ser solo una rebaja del precio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>, se tienen que generar fondos".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El único modo para que se generen esos fondos "es la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inyección de dinero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>". Un método que solo se ha utilizado en Estados Unidos, donde recuerda García-Montalvo, los bancos "han ganado dinero".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El ministro de Economía ha querido dejar claro que la reestructuración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no supondrá la utilización de recursos públicos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y que las entidades financieras podrán disponer de los recursos del FROB, el Fondo Ordenado de Reestructuración Financiera, que ampliará su capital hasta 15.000 millones.</w:t>
      </w:r>
    </w:p>
    <w:p w:rsidR="00D256B3" w:rsidRPr="00D256B3" w:rsidRDefault="00D256B3" w:rsidP="00D256B3">
      <w:pPr>
        <w:shd w:val="clear" w:color="auto" w:fill="FFFFFF"/>
        <w:spacing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>Tendrán que ajustarse a la renta de las familias</w:t>
      </w:r>
    </w:p>
    <w:p w:rsidR="00D256B3" w:rsidRPr="00D256B3" w:rsidRDefault="00D256B3" w:rsidP="00D256B3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sz w:val="9"/>
          <w:szCs w:val="9"/>
          <w:lang w:eastAsia="es-ES"/>
        </w:rPr>
      </w:pP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García-Montalvo </w:t>
      </w:r>
      <w:proofErr w:type="gramStart"/>
      <w:r w:rsidRPr="00D256B3">
        <w:rPr>
          <w:rFonts w:ascii="Arial" w:eastAsia="Times New Roman" w:hAnsi="Arial" w:cs="Arial"/>
          <w:sz w:val="9"/>
          <w:szCs w:val="9"/>
          <w:lang w:eastAsia="es-ES"/>
        </w:rPr>
        <w:t>critica</w:t>
      </w:r>
      <w:proofErr w:type="gramEnd"/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la utilización de este recurso, que para él es, de nuevo el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recurso a los fondos públicos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. El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>final de la crisis del sector inmobiliario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 xml:space="preserve"> pasa, para este profesor de Economía, por que los precios </w:t>
      </w:r>
      <w:r w:rsidRPr="00D256B3">
        <w:rPr>
          <w:rFonts w:ascii="Arial" w:eastAsia="Times New Roman" w:hAnsi="Arial" w:cs="Arial"/>
          <w:b/>
          <w:bCs/>
          <w:sz w:val="9"/>
          <w:lang w:eastAsia="es-ES"/>
        </w:rPr>
        <w:t xml:space="preserve">"se ajusten a la renta de las familias" </w:t>
      </w:r>
      <w:r w:rsidRPr="00D256B3">
        <w:rPr>
          <w:rFonts w:ascii="Arial" w:eastAsia="Times New Roman" w:hAnsi="Arial" w:cs="Arial"/>
          <w:sz w:val="9"/>
          <w:szCs w:val="9"/>
          <w:lang w:eastAsia="es-ES"/>
        </w:rPr>
        <w:t>y añade "o se ajusta a las buenas o las malas".</w:t>
      </w:r>
    </w:p>
    <w:p w:rsidR="00D256B3" w:rsidRDefault="00D256B3"/>
    <w:p w:rsidR="00D256B3" w:rsidRDefault="00D256B3"/>
    <w:p w:rsidR="00D256B3" w:rsidRDefault="00D256B3"/>
    <w:sectPr w:rsidR="00D256B3" w:rsidSect="00B62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982"/>
    <w:multiLevelType w:val="multilevel"/>
    <w:tmpl w:val="7512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D256B3"/>
    <w:rsid w:val="00B624C8"/>
    <w:rsid w:val="00D2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C8"/>
  </w:style>
  <w:style w:type="paragraph" w:styleId="Ttulo1">
    <w:name w:val="heading 1"/>
    <w:basedOn w:val="Normal"/>
    <w:next w:val="Normal"/>
    <w:link w:val="Ttulo1Car"/>
    <w:uiPriority w:val="9"/>
    <w:qFormat/>
    <w:rsid w:val="00D2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25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56B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256B3"/>
    <w:rPr>
      <w:strike w:val="0"/>
      <w:dstrike w:val="0"/>
      <w:color w:val="004276"/>
      <w:u w:val="none"/>
      <w:effect w:val="none"/>
      <w:bdr w:val="none" w:sz="0" w:space="0" w:color="auto" w:frame="1"/>
    </w:rPr>
  </w:style>
  <w:style w:type="character" w:styleId="Textoennegrita">
    <w:name w:val="Strong"/>
    <w:basedOn w:val="Fuentedeprrafopredeter"/>
    <w:uiPriority w:val="22"/>
    <w:qFormat/>
    <w:rsid w:val="00D25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56B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me">
    <w:name w:val="name"/>
    <w:basedOn w:val="Fuentedeprrafopredeter"/>
    <w:rsid w:val="00D256B3"/>
    <w:rPr>
      <w:color w:val="333333"/>
    </w:rPr>
  </w:style>
  <w:style w:type="character" w:customStyle="1" w:styleId="Ttulo1Car">
    <w:name w:val="Título 1 Car"/>
    <w:basedOn w:val="Fuentedeprrafopredeter"/>
    <w:link w:val="Ttulo1"/>
    <w:uiPriority w:val="9"/>
    <w:rsid w:val="00D2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37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ve.es/noticias/20120202/banca-debera-tener-colchon-50000-millones-mas-para-protegerse-del-ladrillo/494899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2012-05-18T11:16:00Z</dcterms:created>
  <dcterms:modified xsi:type="dcterms:W3CDTF">2012-05-18T11:17:00Z</dcterms:modified>
</cp:coreProperties>
</file>